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10" w:rsidRPr="00DF0810" w:rsidRDefault="00DF0810" w:rsidP="007329FE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B30A1">
        <w:rPr>
          <w:rFonts w:ascii="Times New Roman" w:hAnsi="Times New Roman" w:cs="Times New Roman"/>
          <w:b/>
          <w:sz w:val="32"/>
          <w:szCs w:val="32"/>
        </w:rPr>
        <w:t>Список новых поступлений по экономике</w:t>
      </w:r>
    </w:p>
    <w:p w:rsidR="00EB30A1" w:rsidRPr="00DF0810" w:rsidRDefault="007329FE" w:rsidP="007329FE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1. Великая, Е. Г. Механизмы стратегического управления затратами в малобюджетных бизнес-проектах / Е. Г. Великая, В. В. Чурко // Финансы и Кредит. – 2014. – № 20. – С. 23-31</w:t>
      </w:r>
    </w:p>
    <w:p w:rsidR="007329FE" w:rsidRPr="00DF0810" w:rsidRDefault="003A2FB4" w:rsidP="007329FE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2</w:t>
      </w:r>
      <w:r w:rsidR="007329FE" w:rsidRPr="00DF0810">
        <w:rPr>
          <w:rFonts w:ascii="Times New Roman" w:hAnsi="Times New Roman" w:cs="Times New Roman"/>
          <w:sz w:val="28"/>
          <w:szCs w:val="28"/>
        </w:rPr>
        <w:t>. Гайнутдинов, Э. Ф. Особенности формирования кластерных структур в России (методологический аспект) / Э. Ф. Гайнутдинов // Финансы и Кредит. – 2014. – № 20. – С. 9-13</w:t>
      </w:r>
    </w:p>
    <w:p w:rsidR="007329FE" w:rsidRPr="00DF0810" w:rsidRDefault="003A2FB4" w:rsidP="007329FE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3</w:t>
      </w:r>
      <w:r w:rsidR="007329FE" w:rsidRPr="00DF0810">
        <w:rPr>
          <w:rFonts w:ascii="Times New Roman" w:hAnsi="Times New Roman" w:cs="Times New Roman"/>
          <w:sz w:val="28"/>
          <w:szCs w:val="28"/>
        </w:rPr>
        <w:t>. Муртузалиева, С.Опыт развития внешнеэкономических связей / С. Муртузалиева // Предпринимательство. – 2014. – № 4. – С. 86-97</w:t>
      </w:r>
    </w:p>
    <w:p w:rsidR="007329FE" w:rsidRPr="001B7C64" w:rsidRDefault="007329FE" w:rsidP="007329FE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C64">
        <w:rPr>
          <w:rFonts w:ascii="Times New Roman" w:hAnsi="Times New Roman" w:cs="Times New Roman"/>
          <w:sz w:val="28"/>
          <w:szCs w:val="28"/>
        </w:rPr>
        <w:t>– Автор рассматривает состояние развития внешнеэкономических связей Самарской области: ее успехи и проблемы. Автором предлагаются возможные пути развития внешнеэкономических связей региона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7329FE" w:rsidRDefault="003A2FB4" w:rsidP="007329FE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4</w:t>
      </w:r>
      <w:r w:rsidR="007329FE" w:rsidRPr="00DF0810">
        <w:rPr>
          <w:rFonts w:ascii="Times New Roman" w:hAnsi="Times New Roman" w:cs="Times New Roman"/>
          <w:sz w:val="28"/>
          <w:szCs w:val="28"/>
        </w:rPr>
        <w:t>. Соколов, Б. И.Налоговые реформы: опыт Китая - выводы для России / Б. И. Соколов, ЛЮ Юйчжо // Финансы и Кредит. – 2014. – № 20. – С. 32-46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5</w:t>
      </w:r>
      <w:r w:rsidR="00C14862" w:rsidRPr="00DF0810">
        <w:rPr>
          <w:rFonts w:ascii="Times New Roman" w:hAnsi="Times New Roman" w:cs="Times New Roman"/>
          <w:sz w:val="28"/>
          <w:szCs w:val="28"/>
        </w:rPr>
        <w:t>. Абрамова, Н. А.</w:t>
      </w: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="00C14862" w:rsidRPr="00DF0810">
        <w:rPr>
          <w:rFonts w:ascii="Times New Roman" w:hAnsi="Times New Roman" w:cs="Times New Roman"/>
          <w:sz w:val="28"/>
          <w:szCs w:val="28"/>
        </w:rPr>
        <w:t>О некоторых проблемах</w:t>
      </w:r>
      <w:r w:rsidRPr="00DF0810">
        <w:rPr>
          <w:rFonts w:ascii="Times New Roman" w:hAnsi="Times New Roman" w:cs="Times New Roman"/>
          <w:sz w:val="28"/>
          <w:szCs w:val="28"/>
        </w:rPr>
        <w:t xml:space="preserve"> реализации контрактной системы: опыт Амурской области</w:t>
      </w:r>
      <w:r w:rsidR="00C14862" w:rsidRPr="00DF0810">
        <w:rPr>
          <w:rFonts w:ascii="Times New Roman" w:hAnsi="Times New Roman" w:cs="Times New Roman"/>
          <w:sz w:val="28"/>
          <w:szCs w:val="28"/>
        </w:rPr>
        <w:t>/ Н. А. Абрамова // Госзаказ: управление, размещение, обеспечение. – 2014. – № 35 (1). – С. 130-137</w:t>
      </w:r>
    </w:p>
    <w:p w:rsidR="00C14862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1B7C64">
        <w:rPr>
          <w:rFonts w:ascii="Times New Roman" w:hAnsi="Times New Roman" w:cs="Times New Roman"/>
          <w:sz w:val="28"/>
          <w:szCs w:val="28"/>
        </w:rPr>
        <w:t xml:space="preserve"> – Электронные аукционы – Государственные закупки – Контрактная система – Амурская область – Закупки товаров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5</w:t>
      </w:r>
      <w:r w:rsidR="00C14862" w:rsidRPr="00DF0810">
        <w:rPr>
          <w:rFonts w:ascii="Times New Roman" w:hAnsi="Times New Roman" w:cs="Times New Roman"/>
          <w:sz w:val="28"/>
          <w:szCs w:val="28"/>
        </w:rPr>
        <w:t>. Гутова, Н. В.Модель управления контрактной системой города Челябинск</w:t>
      </w:r>
      <w:r w:rsidRPr="00DF0810">
        <w:rPr>
          <w:rFonts w:ascii="Times New Roman" w:hAnsi="Times New Roman" w:cs="Times New Roman"/>
          <w:sz w:val="28"/>
          <w:szCs w:val="28"/>
        </w:rPr>
        <w:t>а</w:t>
      </w:r>
      <w:r w:rsidR="00C14862" w:rsidRPr="00DF0810">
        <w:rPr>
          <w:rFonts w:ascii="Times New Roman" w:hAnsi="Times New Roman" w:cs="Times New Roman"/>
          <w:sz w:val="28"/>
          <w:szCs w:val="28"/>
        </w:rPr>
        <w:t xml:space="preserve"> / Н. В. Гутова // Госзаказ: управление, размещение, обеспечение. – 2014. – № 35 (1). – С. 122-129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6</w:t>
      </w:r>
      <w:r w:rsidR="00C14862" w:rsidRPr="00DF0810">
        <w:rPr>
          <w:rFonts w:ascii="Times New Roman" w:hAnsi="Times New Roman" w:cs="Times New Roman"/>
          <w:sz w:val="28"/>
          <w:szCs w:val="28"/>
        </w:rPr>
        <w:t>. Дьячок, В. Л. О контрактной системе, и не только: опыт г.Тверь / В. Л. Дьячок // Госзаказ: управление, размещение, обеспечение. – 2014. – № 35 (1). – С. 138-144</w:t>
      </w:r>
    </w:p>
    <w:p w:rsidR="00EB30A1" w:rsidRPr="001B7C64" w:rsidRDefault="00C14862" w:rsidP="003A2FB4">
      <w:pPr>
        <w:rPr>
          <w:rFonts w:ascii="Times New Roman" w:hAnsi="Times New Roman" w:cs="Times New Roman"/>
          <w:sz w:val="28"/>
          <w:szCs w:val="28"/>
        </w:rPr>
      </w:pPr>
      <w:r w:rsidRPr="001B7C64">
        <w:rPr>
          <w:rFonts w:ascii="Times New Roman" w:hAnsi="Times New Roman" w:cs="Times New Roman"/>
          <w:sz w:val="28"/>
          <w:szCs w:val="28"/>
        </w:rPr>
        <w:t xml:space="preserve"> – Электронные аукционы – Государственные закупки – Контрактная система – </w:t>
      </w:r>
      <w:r w:rsidR="001B7C64">
        <w:rPr>
          <w:rFonts w:ascii="Times New Roman" w:hAnsi="Times New Roman" w:cs="Times New Roman"/>
          <w:sz w:val="28"/>
          <w:szCs w:val="28"/>
        </w:rPr>
        <w:t>Автоматизация – Закупки товаров.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7</w:t>
      </w:r>
      <w:r w:rsidR="00C14862" w:rsidRPr="00DF0810">
        <w:rPr>
          <w:rFonts w:ascii="Times New Roman" w:hAnsi="Times New Roman" w:cs="Times New Roman"/>
          <w:sz w:val="28"/>
          <w:szCs w:val="28"/>
        </w:rPr>
        <w:t>. Замятнин, С. В.</w:t>
      </w: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="00C14862" w:rsidRPr="00DF0810">
        <w:rPr>
          <w:rFonts w:ascii="Times New Roman" w:hAnsi="Times New Roman" w:cs="Times New Roman"/>
          <w:sz w:val="28"/>
          <w:szCs w:val="28"/>
        </w:rPr>
        <w:t>Электронные аукционы в контрактной системе и перспективы развития электронных способов определения поставщиков / С. В. Замятнин // Госзаказ: управление, размещение, обеспечение. – 2014. – № 35 (1). – С. 76-81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14862" w:rsidRPr="00DF0810">
        <w:rPr>
          <w:rFonts w:ascii="Times New Roman" w:hAnsi="Times New Roman" w:cs="Times New Roman"/>
          <w:sz w:val="28"/>
          <w:szCs w:val="28"/>
        </w:rPr>
        <w:t>. Захаров, П.Изменение архитектуры банковской отрасли США в результате кризиса 2008-2009 гг. / П. Захаров // Вопросы экономики. – 2014. – № 5. – С. 84-96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9</w:t>
      </w:r>
      <w:r w:rsidR="00C14862" w:rsidRPr="00DF0810">
        <w:rPr>
          <w:rFonts w:ascii="Times New Roman" w:hAnsi="Times New Roman" w:cs="Times New Roman"/>
          <w:sz w:val="28"/>
          <w:szCs w:val="28"/>
        </w:rPr>
        <w:t>. Нестерович, Н. В.Проблемные вопросы предоставления преимуществ отечественной продукции при проведении государственных и муниципальных закупок / Н. В. Нестерович, А. А. Гладков // Госзаказ: управление, размещение, обеспечение. – 2014. – № 35 (1). – С. 32-45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10</w:t>
      </w:r>
      <w:r w:rsidR="00C14862" w:rsidRPr="00DF0810">
        <w:rPr>
          <w:rFonts w:ascii="Times New Roman" w:hAnsi="Times New Roman" w:cs="Times New Roman"/>
          <w:sz w:val="28"/>
          <w:szCs w:val="28"/>
        </w:rPr>
        <w:t>. Ризов, А. Д.Моделирование управления и прогнозирования социально-экономического развития депрессивных регионов / А. Д. Ризов // Дискуссия. – 2014. – № 4. – С. 93-97</w:t>
      </w:r>
    </w:p>
    <w:p w:rsidR="003A2FB4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1B7C64">
        <w:rPr>
          <w:rFonts w:ascii="Times New Roman" w:hAnsi="Times New Roman" w:cs="Times New Roman"/>
          <w:sz w:val="28"/>
          <w:szCs w:val="28"/>
        </w:rPr>
        <w:t xml:space="preserve"> – В статье предложен метод экспертных оценок в механизме открытого управления и корреляционно-регрессивный метод определения приоритетных факторов формирования уровня депрессивного состояния и их функциональной зависимости от степени реализации приоритетных индикаторов</w:t>
      </w:r>
      <w:r w:rsidR="003A2FB4" w:rsidRPr="001B7C64">
        <w:rPr>
          <w:rFonts w:ascii="Times New Roman" w:hAnsi="Times New Roman" w:cs="Times New Roman"/>
          <w:sz w:val="28"/>
          <w:szCs w:val="28"/>
        </w:rPr>
        <w:t>.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</w:t>
      </w:r>
      <w:r w:rsidR="003A2FB4" w:rsidRPr="00DF0810">
        <w:rPr>
          <w:rFonts w:ascii="Times New Roman" w:hAnsi="Times New Roman" w:cs="Times New Roman"/>
          <w:sz w:val="28"/>
          <w:szCs w:val="28"/>
        </w:rPr>
        <w:t>1</w:t>
      </w:r>
      <w:r w:rsidRPr="00DF0810">
        <w:rPr>
          <w:rFonts w:ascii="Times New Roman" w:hAnsi="Times New Roman" w:cs="Times New Roman"/>
          <w:sz w:val="28"/>
          <w:szCs w:val="28"/>
        </w:rPr>
        <w:t>. Рябикин, В. И.Аберрации экономических прогнозов и стратегий развития страхования / В. И. Рябикин // Финансы. – 2014. – № 5. – С. 42-46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</w:t>
      </w:r>
      <w:r w:rsidR="003A2FB4" w:rsidRPr="00DF0810">
        <w:rPr>
          <w:rFonts w:ascii="Times New Roman" w:hAnsi="Times New Roman" w:cs="Times New Roman"/>
          <w:sz w:val="28"/>
          <w:szCs w:val="28"/>
        </w:rPr>
        <w:t>2</w:t>
      </w:r>
      <w:r w:rsidRPr="00DF0810">
        <w:rPr>
          <w:rFonts w:ascii="Times New Roman" w:hAnsi="Times New Roman" w:cs="Times New Roman"/>
          <w:sz w:val="28"/>
          <w:szCs w:val="28"/>
        </w:rPr>
        <w:t>. Сухадольский, Г. А.Контрактная система: тренды развития / Г. А. Сухадольский // Госзаказ: управление, размещение, обеспечение. – 2014. – № 35 (1). – С. 6-9</w:t>
      </w:r>
    </w:p>
    <w:p w:rsidR="00C14862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1B7C64">
        <w:rPr>
          <w:rFonts w:ascii="Times New Roman" w:hAnsi="Times New Roman" w:cs="Times New Roman"/>
          <w:sz w:val="28"/>
          <w:szCs w:val="28"/>
        </w:rPr>
        <w:t xml:space="preserve"> – Контрактная система – Автоматизация – Государственные заказы – Государственные закупки – Контроль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</w:t>
      </w:r>
      <w:r w:rsidR="003A2FB4" w:rsidRPr="00DF0810">
        <w:rPr>
          <w:rFonts w:ascii="Times New Roman" w:hAnsi="Times New Roman" w:cs="Times New Roman"/>
          <w:sz w:val="28"/>
          <w:szCs w:val="28"/>
        </w:rPr>
        <w:t>3</w:t>
      </w:r>
      <w:r w:rsidRPr="00DF0810">
        <w:rPr>
          <w:rFonts w:ascii="Times New Roman" w:hAnsi="Times New Roman" w:cs="Times New Roman"/>
          <w:sz w:val="28"/>
          <w:szCs w:val="28"/>
        </w:rPr>
        <w:t>. Агафонов, В. А.Роль целевых программ в повышении эффективности социально-экономического развития региона / В. А. Агафонов, Е. В. Украинчук // Инновации. – 2014. – № 4. – С. 87-93</w:t>
      </w:r>
    </w:p>
    <w:p w:rsidR="00C14862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 xml:space="preserve"> – В статье предложено теоретико-методологическое обоснование разработки программы и проектов стратегического планирования, определены показатели эффективности формирования и развития кластерной системы. Авторами даны рекомендации по типовой структуре показателей для анализа социально-экономической эффективности проектов целевых региональных программ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EB30A1" w:rsidRDefault="00EB30A1" w:rsidP="00C14862">
      <w:pPr>
        <w:rPr>
          <w:rFonts w:ascii="Times New Roman" w:hAnsi="Times New Roman" w:cs="Times New Roman"/>
          <w:sz w:val="28"/>
          <w:szCs w:val="28"/>
        </w:rPr>
      </w:pPr>
    </w:p>
    <w:p w:rsidR="00EB30A1" w:rsidRPr="00DF0810" w:rsidRDefault="00EB30A1" w:rsidP="00C14862">
      <w:pPr>
        <w:rPr>
          <w:rFonts w:ascii="Times New Roman" w:hAnsi="Times New Roman" w:cs="Times New Roman"/>
          <w:sz w:val="28"/>
          <w:szCs w:val="28"/>
        </w:rPr>
      </w:pP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14862" w:rsidRPr="00DF0810">
        <w:rPr>
          <w:rFonts w:ascii="Times New Roman" w:hAnsi="Times New Roman" w:cs="Times New Roman"/>
          <w:sz w:val="28"/>
          <w:szCs w:val="28"/>
        </w:rPr>
        <w:t>. Коростышевская, Е. М.Приоритеты государственной инновационной политики в научно-технологической сфере России и повышение конкурентоспособности обрабатывающих производств / Е. М. Коростышевская // Инновации. – 2014. – № 4. – С. 49-53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="003A2FB4" w:rsidRPr="00DF0810">
        <w:rPr>
          <w:rFonts w:ascii="Times New Roman" w:hAnsi="Times New Roman" w:cs="Times New Roman"/>
          <w:sz w:val="28"/>
          <w:szCs w:val="28"/>
        </w:rPr>
        <w:t>15</w:t>
      </w:r>
      <w:r w:rsidRPr="00DF0810">
        <w:rPr>
          <w:rFonts w:ascii="Times New Roman" w:hAnsi="Times New Roman" w:cs="Times New Roman"/>
          <w:sz w:val="28"/>
          <w:szCs w:val="28"/>
        </w:rPr>
        <w:t>. Перчинская, Н. П.</w:t>
      </w:r>
      <w:r w:rsidR="003A2FB4"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Pr="00DF0810">
        <w:rPr>
          <w:rFonts w:ascii="Times New Roman" w:hAnsi="Times New Roman" w:cs="Times New Roman"/>
          <w:sz w:val="28"/>
          <w:szCs w:val="28"/>
        </w:rPr>
        <w:t>Государственно-частное партнерство в ИКТ Молдовы / В. А. Агафонов, Е. В. Украинчук // Инновации. – 2014. – № 4. – С. 104-109</w:t>
      </w:r>
    </w:p>
    <w:p w:rsidR="00C14862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1B7C64">
        <w:rPr>
          <w:rFonts w:ascii="Times New Roman" w:hAnsi="Times New Roman" w:cs="Times New Roman"/>
          <w:sz w:val="28"/>
          <w:szCs w:val="28"/>
        </w:rPr>
        <w:t xml:space="preserve"> – В статье предложены основные направления повышения эффективности взаимодействия государства и частного </w:t>
      </w:r>
      <w:r w:rsidR="003A2FB4" w:rsidRPr="001B7C64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1B7C64">
        <w:rPr>
          <w:rFonts w:ascii="Times New Roman" w:hAnsi="Times New Roman" w:cs="Times New Roman"/>
          <w:sz w:val="28"/>
          <w:szCs w:val="28"/>
        </w:rPr>
        <w:t>в Молдове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</w:t>
      </w:r>
      <w:r w:rsidR="003A2FB4" w:rsidRPr="00DF0810">
        <w:rPr>
          <w:rFonts w:ascii="Times New Roman" w:hAnsi="Times New Roman" w:cs="Times New Roman"/>
          <w:sz w:val="28"/>
          <w:szCs w:val="28"/>
        </w:rPr>
        <w:t>6</w:t>
      </w:r>
      <w:r w:rsidRPr="00DF0810">
        <w:rPr>
          <w:rFonts w:ascii="Times New Roman" w:hAnsi="Times New Roman" w:cs="Times New Roman"/>
          <w:sz w:val="28"/>
          <w:szCs w:val="28"/>
        </w:rPr>
        <w:t>. Фияксель, Э. А.Интернационализация региональных кластеров в России: результаты исследования / Э. А. Фияксель, М. Г. Назаров, Е. А. Исланкина // Инновации. – 2014. – № 4. – С. 77-86</w:t>
      </w:r>
    </w:p>
    <w:p w:rsidR="00C14862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Pr="001B7C64">
        <w:rPr>
          <w:rFonts w:ascii="Times New Roman" w:hAnsi="Times New Roman" w:cs="Times New Roman"/>
          <w:sz w:val="28"/>
          <w:szCs w:val="28"/>
        </w:rPr>
        <w:t>– Исследование направлено на изучение существующих стратегий, целей, барьеров и стимулов интернационализации кластеров в регионах России. Результаты, полученные в рамках данного исследования, станут эмпирической базой для разработки рекомендаций по совершенствованию региональной кластерной полит</w:t>
      </w:r>
      <w:r w:rsidR="00EB30A1" w:rsidRPr="001B7C64">
        <w:rPr>
          <w:rFonts w:ascii="Times New Roman" w:hAnsi="Times New Roman" w:cs="Times New Roman"/>
          <w:sz w:val="28"/>
          <w:szCs w:val="28"/>
        </w:rPr>
        <w:t>ик</w:t>
      </w:r>
      <w:r w:rsidRPr="001B7C64">
        <w:rPr>
          <w:rFonts w:ascii="Times New Roman" w:hAnsi="Times New Roman" w:cs="Times New Roman"/>
          <w:sz w:val="28"/>
          <w:szCs w:val="28"/>
        </w:rPr>
        <w:t>и и критериев оценки ее эффективности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17</w:t>
      </w:r>
      <w:r w:rsidR="00C14862" w:rsidRPr="00DF0810">
        <w:rPr>
          <w:rFonts w:ascii="Times New Roman" w:hAnsi="Times New Roman" w:cs="Times New Roman"/>
          <w:sz w:val="28"/>
          <w:szCs w:val="28"/>
        </w:rPr>
        <w:t>. Фролов, А. В.</w:t>
      </w:r>
      <w:r w:rsidR="00EB30A1">
        <w:rPr>
          <w:rFonts w:ascii="Times New Roman" w:hAnsi="Times New Roman" w:cs="Times New Roman"/>
          <w:sz w:val="28"/>
          <w:szCs w:val="28"/>
        </w:rPr>
        <w:t xml:space="preserve"> </w:t>
      </w:r>
      <w:r w:rsidR="00C14862" w:rsidRPr="00DF0810">
        <w:rPr>
          <w:rFonts w:ascii="Times New Roman" w:hAnsi="Times New Roman" w:cs="Times New Roman"/>
          <w:sz w:val="28"/>
          <w:szCs w:val="28"/>
        </w:rPr>
        <w:t>Практический опыт взаимодействия предприятий оборонно-промышленного комплекса  с инновационным центром "Сколково" / А. В. Фролов, И. А. Петрова, А. В. Бриль // Инновации. – 2014. – № 4. – С. 8-12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18</w:t>
      </w:r>
      <w:r w:rsidR="00C14862" w:rsidRPr="00DF0810">
        <w:rPr>
          <w:rFonts w:ascii="Times New Roman" w:hAnsi="Times New Roman" w:cs="Times New Roman"/>
          <w:sz w:val="28"/>
          <w:szCs w:val="28"/>
        </w:rPr>
        <w:t>. Кононов, А. С. Методология оценки финансово устойчивого состояния регионального образования / А. С. Кононов // Аудит и финансовый анализ. – 2014. – № 1. – С. 336-338</w:t>
      </w:r>
    </w:p>
    <w:p w:rsidR="00C14862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1B7C64">
        <w:rPr>
          <w:rFonts w:ascii="Times New Roman" w:hAnsi="Times New Roman" w:cs="Times New Roman"/>
          <w:sz w:val="28"/>
          <w:szCs w:val="28"/>
        </w:rPr>
        <w:t xml:space="preserve"> – Дано авторское определение финансово устойчивого состояния региона и предложена система динамичных показателей для ее определения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3A2FB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1</w:t>
      </w:r>
      <w:r w:rsidR="003A2FB4" w:rsidRPr="00DF0810">
        <w:rPr>
          <w:rFonts w:ascii="Times New Roman" w:hAnsi="Times New Roman" w:cs="Times New Roman"/>
          <w:sz w:val="28"/>
          <w:szCs w:val="28"/>
        </w:rPr>
        <w:t>9</w:t>
      </w:r>
      <w:r w:rsidRPr="00DF0810">
        <w:rPr>
          <w:rFonts w:ascii="Times New Roman" w:hAnsi="Times New Roman" w:cs="Times New Roman"/>
          <w:sz w:val="28"/>
          <w:szCs w:val="28"/>
        </w:rPr>
        <w:t>. Лейберт, Т. Б.Роль региона в системе поступательного развития экономики страны / Т. Б. Лейберт, Р. Я. Азнаева // Аудит и финансовый анализ. – 2014. – № 2. – С. 343-347</w:t>
      </w:r>
    </w:p>
    <w:p w:rsidR="00C14862" w:rsidRPr="00DF0810" w:rsidRDefault="003A2FB4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20</w:t>
      </w:r>
      <w:r w:rsidR="00C14862" w:rsidRPr="00DF0810">
        <w:rPr>
          <w:rFonts w:ascii="Times New Roman" w:hAnsi="Times New Roman" w:cs="Times New Roman"/>
          <w:sz w:val="28"/>
          <w:szCs w:val="28"/>
        </w:rPr>
        <w:t>. Низамутдинов, М. М.Подход к разработке модельного инструментария обоснования среднесрочных стратегий развития муниципальных образований / М. М. Низамутдинов // Аудит и финансовый анализ. – 2014. – № 1. – С. 376-381</w:t>
      </w:r>
    </w:p>
    <w:p w:rsidR="00C14862" w:rsidRPr="001B7C64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EB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C64">
        <w:rPr>
          <w:rFonts w:ascii="Times New Roman" w:hAnsi="Times New Roman" w:cs="Times New Roman"/>
          <w:sz w:val="28"/>
          <w:szCs w:val="28"/>
        </w:rPr>
        <w:t xml:space="preserve">– Рассматриваются современные проблемы и подходы в области моделирования развития территориальных образований. Предлагается </w:t>
      </w:r>
      <w:r w:rsidRPr="001B7C64">
        <w:rPr>
          <w:rFonts w:ascii="Times New Roman" w:hAnsi="Times New Roman" w:cs="Times New Roman"/>
          <w:sz w:val="28"/>
          <w:szCs w:val="28"/>
        </w:rPr>
        <w:lastRenderedPageBreak/>
        <w:t>подход к разработке комплексного инструментария моделирования на муниципальном уровне, приводятся результаты практической апробации предложенного инструментария в рамках обоснования четырех альтернативных стратегий развития северо-восточных муниципальных районов Республики Башкортостан на период до 2015 г.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="003A2FB4" w:rsidRPr="00DF0810">
        <w:rPr>
          <w:rFonts w:ascii="Times New Roman" w:hAnsi="Times New Roman" w:cs="Times New Roman"/>
          <w:sz w:val="28"/>
          <w:szCs w:val="28"/>
        </w:rPr>
        <w:t>2</w:t>
      </w:r>
      <w:r w:rsidRPr="00DF0810">
        <w:rPr>
          <w:rFonts w:ascii="Times New Roman" w:hAnsi="Times New Roman" w:cs="Times New Roman"/>
          <w:sz w:val="28"/>
          <w:szCs w:val="28"/>
        </w:rPr>
        <w:t>1. Новоселова, И. А.Анализ регионального планирования как способ повышения конкурентоспособности региона / И. А. Новоселова // Аудит и финансовый анализ. – 2014. – № 1. – С. 414-417</w:t>
      </w:r>
    </w:p>
    <w:p w:rsidR="00C14862" w:rsidRPr="00DF0810" w:rsidRDefault="00DF0810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22</w:t>
      </w:r>
      <w:r w:rsidR="00C14862" w:rsidRPr="00DF0810">
        <w:rPr>
          <w:rFonts w:ascii="Times New Roman" w:hAnsi="Times New Roman" w:cs="Times New Roman"/>
          <w:sz w:val="28"/>
          <w:szCs w:val="28"/>
        </w:rPr>
        <w:t>. Перевозчиков, А. Г.Об использовании прогнозных моделей роста в обобщенной теории Модильяни-Миллера / А. Г. Перевозчиков // Аудит и финансовый анализ. – 2014. – № 1. – С. 137-141</w:t>
      </w:r>
    </w:p>
    <w:p w:rsidR="00C14862" w:rsidRPr="00DF0810" w:rsidRDefault="00DF0810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23</w:t>
      </w:r>
      <w:r w:rsidR="00C14862" w:rsidRPr="00DF0810">
        <w:rPr>
          <w:rFonts w:ascii="Times New Roman" w:hAnsi="Times New Roman" w:cs="Times New Roman"/>
          <w:sz w:val="28"/>
          <w:szCs w:val="28"/>
        </w:rPr>
        <w:t>. Саргиджян, М. С.</w:t>
      </w: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="00C14862" w:rsidRPr="00DF0810">
        <w:rPr>
          <w:rFonts w:ascii="Times New Roman" w:hAnsi="Times New Roman" w:cs="Times New Roman"/>
          <w:sz w:val="28"/>
          <w:szCs w:val="28"/>
        </w:rPr>
        <w:t>Смогут ли российские моногорода стать "умными" и "саморазвивающимися"? / М. С. Саргиджян // Аудит и финансовый анализ. – 2014. – № 2. – С. 391-393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 xml:space="preserve"> – В статье представлен анализ современного состояния экономики монопрофильных городов в РФ, проведен сравнительный анализ ресурсов социально-экономического развития их территорий, определены направления модернизации на основе экономики знаний</w:t>
      </w:r>
      <w:r w:rsidR="001B7C64">
        <w:rPr>
          <w:rFonts w:ascii="Times New Roman" w:hAnsi="Times New Roman" w:cs="Times New Roman"/>
          <w:sz w:val="28"/>
          <w:szCs w:val="28"/>
        </w:rPr>
        <w:t>.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2</w:t>
      </w:r>
      <w:r w:rsidR="00DF0810" w:rsidRPr="00DF0810">
        <w:rPr>
          <w:rFonts w:ascii="Times New Roman" w:hAnsi="Times New Roman" w:cs="Times New Roman"/>
          <w:sz w:val="28"/>
          <w:szCs w:val="28"/>
        </w:rPr>
        <w:t>4</w:t>
      </w:r>
      <w:r w:rsidRPr="00DF0810">
        <w:rPr>
          <w:rFonts w:ascii="Times New Roman" w:hAnsi="Times New Roman" w:cs="Times New Roman"/>
          <w:sz w:val="28"/>
          <w:szCs w:val="28"/>
        </w:rPr>
        <w:t>. Царьков, В. А. Аналитические методы и модели оценки эффективности инвестиционных проектов / В. А. Царьков // Аудит и финансовый анализ. – 2014. – № 2. – С. 241-247</w:t>
      </w:r>
    </w:p>
    <w:p w:rsidR="00C14862" w:rsidRPr="00DF0810" w:rsidRDefault="00C14862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 xml:space="preserve"> 25. Чая, В. Т. Оценка экономической эффективности инвестиционных проектов на предприятиях ГОК (Горно-обогатительные комплексы) / В. Т. Чая, В. М. Акопян // Аудит и финансовый анализ. – 2014. – № 1. – С. 251-253</w:t>
      </w:r>
    </w:p>
    <w:p w:rsidR="00FD290A" w:rsidRPr="00DF0810" w:rsidRDefault="00DF0810" w:rsidP="00C14862">
      <w:pPr>
        <w:rPr>
          <w:rFonts w:ascii="Times New Roman" w:hAnsi="Times New Roman" w:cs="Times New Roman"/>
          <w:sz w:val="28"/>
          <w:szCs w:val="28"/>
        </w:rPr>
      </w:pPr>
      <w:r w:rsidRPr="00DF0810">
        <w:rPr>
          <w:rFonts w:ascii="Times New Roman" w:hAnsi="Times New Roman" w:cs="Times New Roman"/>
          <w:sz w:val="28"/>
          <w:szCs w:val="28"/>
        </w:rPr>
        <w:t>26</w:t>
      </w:r>
      <w:r w:rsidR="00C14862" w:rsidRPr="00DF0810">
        <w:rPr>
          <w:rFonts w:ascii="Times New Roman" w:hAnsi="Times New Roman" w:cs="Times New Roman"/>
          <w:sz w:val="28"/>
          <w:szCs w:val="28"/>
        </w:rPr>
        <w:t>. Кротов, Л. А.</w:t>
      </w:r>
      <w:r w:rsidRPr="00DF0810">
        <w:rPr>
          <w:rFonts w:ascii="Times New Roman" w:hAnsi="Times New Roman" w:cs="Times New Roman"/>
          <w:sz w:val="28"/>
          <w:szCs w:val="28"/>
        </w:rPr>
        <w:t xml:space="preserve"> </w:t>
      </w:r>
      <w:r w:rsidR="00C14862" w:rsidRPr="00DF0810">
        <w:rPr>
          <w:rFonts w:ascii="Times New Roman" w:hAnsi="Times New Roman" w:cs="Times New Roman"/>
          <w:sz w:val="28"/>
          <w:szCs w:val="28"/>
        </w:rPr>
        <w:t>Государственно-частное партнерство как форма взаимодействия государства и бизнеса для интенсивного развития территории и повышения ее конкурентоспособности / Л. А. Кротов // Вопросы экономики и права. – 2014. – № 1. – С. 68-72</w:t>
      </w:r>
      <w:r w:rsidR="00EB30A1">
        <w:rPr>
          <w:rFonts w:ascii="Times New Roman" w:hAnsi="Times New Roman" w:cs="Times New Roman"/>
          <w:sz w:val="28"/>
          <w:szCs w:val="28"/>
        </w:rPr>
        <w:t>.</w:t>
      </w:r>
    </w:p>
    <w:sectPr w:rsidR="00FD290A" w:rsidRPr="00DF0810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FE"/>
    <w:rsid w:val="001B7C64"/>
    <w:rsid w:val="00201BA0"/>
    <w:rsid w:val="003A2FB4"/>
    <w:rsid w:val="00493E73"/>
    <w:rsid w:val="007329FE"/>
    <w:rsid w:val="00845B6D"/>
    <w:rsid w:val="008D2D76"/>
    <w:rsid w:val="008F0C94"/>
    <w:rsid w:val="00C14862"/>
    <w:rsid w:val="00D3052C"/>
    <w:rsid w:val="00DF0810"/>
    <w:rsid w:val="00EB30A1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2014-06-20T08:28:00Z</dcterms:created>
  <dcterms:modified xsi:type="dcterms:W3CDTF">2014-06-20T08:28:00Z</dcterms:modified>
</cp:coreProperties>
</file>